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9214BD" w:rsidRPr="00027552" w:rsidP="009214BD">
      <w:pPr>
        <w:jc w:val="center"/>
        <w:rPr>
          <w:rFonts w:ascii="Times New Roman" w:hAnsi="Times New Roman"/>
        </w:rPr>
      </w:pPr>
      <w:r w:rsidRPr="00027552">
        <w:rPr>
          <w:rFonts w:ascii="Times New Roman" w:hAnsi="Times New Roman"/>
          <w:noProof/>
          <w:lang w:val="pt-BR" w:eastAsia="pt-BR"/>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55731" name="Picture 5" descr="rolg_uvastk_sc.fh"/>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1475" cy="1828800"/>
                    </a:xfrm>
                    <a:prstGeom prst="rect">
                      <a:avLst/>
                    </a:prstGeom>
                    <a:noFill/>
                    <a:ln>
                      <a:noFill/>
                    </a:ln>
                  </pic:spPr>
                </pic:pic>
              </a:graphicData>
            </a:graphic>
          </wp:inline>
        </w:drawing>
      </w: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spacing w:after="0" w:line="240" w:lineRule="auto"/>
        <w:jc w:val="center"/>
        <w:rPr>
          <w:rFonts w:ascii="Times New Roman" w:hAnsi="Times New Roman" w:cs="Times New Roman"/>
          <w:b/>
          <w:sz w:val="32"/>
          <w:szCs w:val="32"/>
        </w:rPr>
      </w:pPr>
      <w:r w:rsidRPr="00172C1C">
        <w:rPr>
          <w:rFonts w:ascii="Times New Roman" w:hAnsi="Times New Roman"/>
          <w:b/>
          <w:sz w:val="32"/>
          <w:szCs w:val="32"/>
        </w:rPr>
        <w:t xml:space="preserve">PREVENCIÓN Y TRATAMIENTO </w:t>
      </w:r>
      <w:r>
        <w:rPr>
          <w:rFonts w:ascii="Times New Roman" w:hAnsi="Times New Roman"/>
          <w:b/>
          <w:sz w:val="32"/>
          <w:szCs w:val="32"/>
        </w:rPr>
        <w:br/>
      </w:r>
      <w:r w:rsidRPr="00172C1C">
        <w:rPr>
          <w:rFonts w:ascii="Times New Roman" w:hAnsi="Times New Roman"/>
          <w:b/>
          <w:sz w:val="32"/>
          <w:szCs w:val="32"/>
        </w:rPr>
        <w:t xml:space="preserve">DE LA DISCRIMINACIÓN Y </w:t>
      </w:r>
      <w:r w:rsidR="001A46F6">
        <w:rPr>
          <w:rFonts w:ascii="Times New Roman" w:hAnsi="Times New Roman"/>
          <w:b/>
          <w:sz w:val="32"/>
          <w:szCs w:val="32"/>
        </w:rPr>
        <w:t>D</w:t>
      </w:r>
      <w:r w:rsidRPr="00172C1C">
        <w:rPr>
          <w:rFonts w:ascii="Times New Roman" w:hAnsi="Times New Roman"/>
          <w:b/>
          <w:sz w:val="32"/>
          <w:szCs w:val="32"/>
        </w:rPr>
        <w:t>EL ACOSO</w:t>
      </w: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BC0103"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after="0" w:line="240" w:lineRule="auto"/>
        <w:rPr>
          <w:rFonts w:ascii="Times New Roman" w:hAnsi="Times New Roman" w:cs="Times New Roman"/>
          <w:sz w:val="24"/>
          <w:szCs w:val="24"/>
        </w:rPr>
      </w:pPr>
      <w:r>
        <w:rPr>
          <w:rFonts w:ascii="Times New Roman" w:hAnsi="Times New Roman"/>
          <w:sz w:val="24"/>
          <w:szCs w:val="24"/>
        </w:rPr>
        <w:t>Fecha: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r w:rsidR="003C7FA6">
        <w:rPr>
          <w:rFonts w:ascii="Times New Roman" w:hAnsi="Times New Roman"/>
          <w:sz w:val="24"/>
          <w:szCs w:val="24"/>
        </w:rPr>
        <w:t>8</w:t>
      </w:r>
      <w:r>
        <w:rPr>
          <w:rFonts w:ascii="Times New Roman" w:hAnsi="Times New Roman"/>
          <w:sz w:val="24"/>
          <w:szCs w:val="24"/>
        </w:rPr>
        <w:t>/0</w:t>
      </w:r>
      <w:r w:rsidR="003C7FA6">
        <w:rPr>
          <w:rFonts w:ascii="Times New Roman" w:hAnsi="Times New Roman"/>
          <w:sz w:val="24"/>
          <w:szCs w:val="24"/>
        </w:rPr>
        <w:t>4</w:t>
      </w:r>
      <w:r>
        <w:rPr>
          <w:rFonts w:ascii="Times New Roman" w:hAnsi="Times New Roman"/>
          <w:sz w:val="24"/>
          <w:szCs w:val="24"/>
        </w:rPr>
        <w:t>/2008</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ID de política # </w:t>
      </w:r>
      <w:r w:rsidR="003C7FA6">
        <w:rPr>
          <w:rFonts w:ascii="Times New Roman" w:hAnsi="Times New Roman"/>
          <w:sz w:val="24"/>
          <w:szCs w:val="24"/>
        </w:rPr>
        <w:t xml:space="preserve">          </w:t>
      </w:r>
      <w:r>
        <w:rPr>
          <w:rFonts w:ascii="Times New Roman" w:hAnsi="Times New Roman"/>
          <w:sz w:val="24"/>
          <w:szCs w:val="24"/>
        </w:rPr>
        <w:t>HRM-009</w:t>
      </w:r>
    </w:p>
    <w:p w:rsidR="009214BD" w:rsidRPr="00027552" w:rsidP="009214BD">
      <w:pPr>
        <w:spacing w:after="0" w:line="240" w:lineRule="auto"/>
        <w:ind w:left="720" w:hanging="720"/>
        <w:rPr>
          <w:rFonts w:ascii="Times New Roman" w:hAnsi="Times New Roman" w:cs="Times New Roman"/>
          <w:sz w:val="24"/>
          <w:szCs w:val="24"/>
        </w:rPr>
      </w:pPr>
    </w:p>
    <w:p w:rsidR="009214BD"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Estado: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w:t>
      </w:r>
    </w:p>
    <w:p w:rsidR="001D1F69" w:rsidP="001D1F69">
      <w:pPr>
        <w:spacing w:after="0" w:line="240" w:lineRule="auto"/>
        <w:rPr>
          <w:rFonts w:ascii="Times New Roman" w:hAnsi="Times New Roman" w:cs="Times New Roman"/>
          <w:sz w:val="24"/>
          <w:szCs w:val="24"/>
        </w:rPr>
      </w:pPr>
    </w:p>
    <w:p w:rsidR="001D1F69" w:rsidRPr="00027552" w:rsidP="001D1F69">
      <w:pPr>
        <w:spacing w:after="0" w:line="240" w:lineRule="auto"/>
        <w:rPr>
          <w:rFonts w:ascii="Times New Roman" w:hAnsi="Times New Roman" w:cs="Times New Roman"/>
          <w:sz w:val="24"/>
          <w:szCs w:val="24"/>
        </w:rPr>
      </w:pPr>
      <w:r>
        <w:rPr>
          <w:rFonts w:ascii="Times New Roman" w:hAnsi="Times New Roman"/>
          <w:sz w:val="24"/>
          <w:szCs w:val="24"/>
        </w:rPr>
        <w:t>Revisado por última vez:</w:t>
      </w:r>
      <w:r>
        <w:rPr>
          <w:rFonts w:ascii="Times New Roman" w:hAnsi="Times New Roman"/>
          <w:sz w:val="24"/>
          <w:szCs w:val="24"/>
        </w:rPr>
        <w:tab/>
      </w:r>
      <w:r>
        <w:rPr>
          <w:rFonts w:ascii="Times New Roman" w:hAnsi="Times New Roman"/>
          <w:sz w:val="24"/>
          <w:szCs w:val="24"/>
        </w:rPr>
        <w:tab/>
        <w:t>09/03/2015</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Tipo de política: </w:t>
      </w:r>
      <w:r>
        <w:rPr>
          <w:rFonts w:ascii="Times New Roman" w:hAnsi="Times New Roman"/>
          <w:sz w:val="24"/>
          <w:szCs w:val="24"/>
        </w:rPr>
        <w:tab/>
      </w:r>
      <w:r>
        <w:rPr>
          <w:rFonts w:ascii="Times New Roman" w:hAnsi="Times New Roman"/>
          <w:sz w:val="24"/>
          <w:szCs w:val="24"/>
        </w:rPr>
        <w:tab/>
        <w:t>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Oficina de contacto: </w:t>
      </w:r>
      <w:r>
        <w:rPr>
          <w:rFonts w:ascii="Times New Roman" w:hAnsi="Times New Roman"/>
          <w:sz w:val="24"/>
          <w:szCs w:val="24"/>
        </w:rPr>
        <w:tab/>
        <w:t>Igualdad de oportunidad</w:t>
      </w:r>
      <w:r w:rsidR="003C7FA6">
        <w:rPr>
          <w:rFonts w:ascii="Times New Roman" w:hAnsi="Times New Roman"/>
          <w:sz w:val="24"/>
          <w:szCs w:val="24"/>
        </w:rPr>
        <w:t>es y derechos civiles (Oficina de</w:t>
      </w:r>
      <w:r>
        <w:rPr>
          <w:rFonts w:ascii="Times New Roman" w:hAnsi="Times New Roman"/>
          <w:sz w:val="24"/>
          <w:szCs w:val="24"/>
        </w:rPr>
        <w:t>)</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Ejecutivo de Supervisión: </w:t>
      </w:r>
      <w:r>
        <w:rPr>
          <w:rFonts w:ascii="Times New Roman" w:hAnsi="Times New Roman"/>
          <w:sz w:val="24"/>
          <w:szCs w:val="24"/>
        </w:rPr>
        <w:tab/>
        <w:t>Presidente de la 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2160" w:hanging="2160"/>
        <w:rPr>
          <w:rFonts w:ascii="Times New Roman" w:hAnsi="Times New Roman" w:cs="Times New Roman"/>
          <w:sz w:val="24"/>
          <w:szCs w:val="24"/>
        </w:rPr>
      </w:pPr>
      <w:r>
        <w:rPr>
          <w:rFonts w:ascii="Times New Roman" w:hAnsi="Times New Roman"/>
          <w:sz w:val="24"/>
          <w:szCs w:val="24"/>
        </w:rPr>
        <w:t xml:space="preserve">Se aplica a: </w:t>
      </w:r>
      <w:r>
        <w:rPr>
          <w:rFonts w:ascii="Times New Roman" w:hAnsi="Times New Roman"/>
          <w:sz w:val="24"/>
          <w:szCs w:val="24"/>
        </w:rPr>
        <w:tab/>
        <w:t xml:space="preserve">División Académica, el Centro Médico </w:t>
      </w:r>
      <w:bookmarkStart w:id="0" w:name="_GoBack"/>
      <w:r>
        <w:rPr>
          <w:rFonts w:ascii="Times New Roman" w:hAnsi="Times New Roman"/>
          <w:sz w:val="24"/>
          <w:szCs w:val="24"/>
        </w:rPr>
        <w:t>y el</w:t>
      </w:r>
      <w:bookmarkEnd w:id="0"/>
      <w:r>
        <w:rPr>
          <w:rFonts w:ascii="Times New Roman" w:hAnsi="Times New Roman"/>
          <w:sz w:val="24"/>
          <w:szCs w:val="24"/>
        </w:rPr>
        <w:t xml:space="preserve"> Colegio de Sabios.  Específicamente, empleados actuales y anteriores de la Universidad, estudiantes, solicitantes de admisión o empleo y participantes en programas o actividades de la Universidad (incluye clientes de servicios, proveedores, contratistas y voluntarios).</w:t>
      </w:r>
    </w:p>
    <w:p w:rsidR="009214BD" w:rsidP="009214BD">
      <w:pPr>
        <w:spacing w:after="0" w:line="240" w:lineRule="auto"/>
        <w:rPr>
          <w:rFonts w:ascii="Times New Roman" w:eastAsia="Times New Roman" w:hAnsi="Times New Roman" w:cs="Times New Roman"/>
          <w:color w:val="002654"/>
          <w:sz w:val="24"/>
          <w:szCs w:val="24"/>
          <w:shd w:val="clear" w:color="auto" w:fill="FFFFFF"/>
        </w:rPr>
      </w:pPr>
    </w:p>
    <w:p w:rsidR="009214BD" w:rsidP="009214BD">
      <w:pPr>
        <w:shd w:val="clear" w:color="auto" w:fill="FFFFFF"/>
        <w:spacing w:after="0" w:line="240" w:lineRule="auto"/>
        <w:rPr>
          <w:rFonts w:ascii="Times New Roman" w:eastAsia="Times New Roman" w:hAnsi="Times New Roman" w:cs="Times New Roman"/>
          <w:b/>
          <w:color w:val="002654"/>
          <w:sz w:val="28"/>
          <w:szCs w:val="24"/>
        </w:rPr>
      </w:pPr>
      <w:r>
        <w:rPr>
          <w:rFonts w:ascii="Times New Roman" w:hAnsi="Times New Roman"/>
          <w:b/>
          <w:color w:val="002654"/>
          <w:sz w:val="28"/>
          <w:szCs w:val="24"/>
        </w:rPr>
        <w:t>Tabla de contenido:</w:t>
      </w:r>
    </w:p>
    <w:p w:rsidR="005910A6" w:rsidRPr="001D1F69" w:rsidP="009214BD">
      <w:pPr>
        <w:shd w:val="clear" w:color="auto" w:fill="FFFFFF"/>
        <w:spacing w:after="0" w:line="240" w:lineRule="auto"/>
        <w:rPr>
          <w:rFonts w:ascii="Times New Roman" w:eastAsia="Times New Roman" w:hAnsi="Times New Roman" w:cs="Times New Roman"/>
          <w:b/>
          <w:sz w:val="28"/>
          <w:szCs w:val="24"/>
        </w:rPr>
      </w:pPr>
    </w:p>
    <w:p w:rsidR="005910A6" w:rsidP="005910A6">
      <w:pPr>
        <w:pStyle w:val="NormalWeb"/>
        <w:shd w:val="clear" w:color="auto" w:fill="FFFFFF"/>
        <w:spacing w:before="0" w:beforeAutospacing="0" w:after="0" w:afterAutospacing="0"/>
        <w:rPr>
          <w:color w:val="333333"/>
          <w:szCs w:val="23"/>
        </w:rPr>
      </w:pPr>
      <w:r>
        <w:fldChar w:fldCharType="begin"/>
      </w:r>
      <w:r>
        <w:instrText xml:space="preserve"> HYPERLINK "http://uvapolicy.virginia.edu/policy/HRM-009" \l "Statement" </w:instrText>
      </w:r>
      <w:r>
        <w:fldChar w:fldCharType="separate"/>
      </w:r>
      <w:r w:rsidR="007540DB">
        <w:rPr>
          <w:rStyle w:val="Hyperlink"/>
        </w:rPr>
        <w:t>Declaración de política</w:t>
      </w:r>
      <w:r>
        <w:fldChar w:fldCharType="end"/>
      </w:r>
    </w:p>
    <w:p w:rsidR="00BC0103" w:rsidP="005910A6">
      <w:pPr>
        <w:pStyle w:val="NormalWeb"/>
        <w:shd w:val="clear" w:color="auto" w:fill="FFFFFF"/>
        <w:spacing w:before="0" w:beforeAutospacing="0" w:after="0" w:afterAutospacing="0"/>
        <w:rPr>
          <w:color w:val="333333"/>
          <w:szCs w:val="23"/>
        </w:rPr>
      </w:pPr>
      <w:r>
        <w:rPr>
          <w:color w:val="333333"/>
          <w:szCs w:val="23"/>
        </w:rPr>
        <w:br/>
      </w:r>
      <w:r>
        <w:fldChar w:fldCharType="begin"/>
      </w:r>
      <w:r>
        <w:instrText xml:space="preserve"> HYPERLINK "http://uvapolicy.virginia.edu/policy/HRM-009" \l "Procedures" </w:instrText>
      </w:r>
      <w:r>
        <w:fldChar w:fldCharType="separate"/>
      </w:r>
      <w:r>
        <w:rPr>
          <w:rStyle w:val="Hyperlink"/>
        </w:rPr>
        <w:t>Procedimientos</w:t>
      </w:r>
      <w:r>
        <w:fldChar w:fldCharType="end"/>
      </w:r>
    </w:p>
    <w:p w:rsidR="005910A6" w:rsidRPr="00BC0103" w:rsidP="005910A6">
      <w:pPr>
        <w:pStyle w:val="NormalWeb"/>
        <w:shd w:val="clear" w:color="auto" w:fill="FFFFFF"/>
        <w:spacing w:before="0" w:beforeAutospacing="0" w:after="0" w:afterAutospacing="0"/>
        <w:rPr>
          <w:color w:val="333333"/>
          <w:szCs w:val="23"/>
        </w:rPr>
      </w:pPr>
    </w:p>
    <w:p w:rsidR="00BC0103" w:rsidRPr="005910A6" w:rsidP="00BC0103">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Razón de la política:</w:t>
      </w:r>
    </w:p>
    <w:p w:rsidR="00BC0103" w:rsidRPr="00BC0103" w:rsidP="005910A6">
      <w:pPr>
        <w:pStyle w:val="NormalWeb"/>
        <w:shd w:val="clear" w:color="auto" w:fill="FFFFFF"/>
        <w:spacing w:before="0" w:beforeAutospacing="0" w:after="360" w:afterAutospacing="0"/>
        <w:jc w:val="both"/>
        <w:rPr>
          <w:sz w:val="28"/>
        </w:rPr>
      </w:pPr>
      <w:r>
        <w:rPr>
          <w:color w:val="333333"/>
          <w:szCs w:val="23"/>
        </w:rPr>
        <w:t>La Universidad se compromete a proporcionar un entorno laboral y educativo, programas y actividades libres de discriminación y acoso. Esta política no permite la restricción o censura de las expresiones protegidas constitucionalmente.</w:t>
      </w:r>
    </w:p>
    <w:p w:rsidR="00BC0103" w:rsidRPr="005910A6" w:rsidP="00BC0103">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Definición de términos en la declaración:</w:t>
      </w:r>
    </w:p>
    <w:p w:rsidR="00BC0103" w:rsidP="005910A6">
      <w:pPr>
        <w:shd w:val="clear" w:color="auto" w:fill="FFFFFF"/>
        <w:spacing w:after="60" w:line="240" w:lineRule="auto"/>
        <w:ind w:left="36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Queja: </w:t>
      </w:r>
      <w:r>
        <w:rPr>
          <w:rFonts w:ascii="Times New Roman" w:hAnsi="Times New Roman"/>
          <w:color w:val="333333"/>
          <w:sz w:val="24"/>
          <w:szCs w:val="23"/>
        </w:rPr>
        <w:t>Alegación(</w:t>
      </w:r>
      <w:r w:rsidR="003C7FA6">
        <w:rPr>
          <w:rFonts w:ascii="Times New Roman" w:hAnsi="Times New Roman"/>
          <w:color w:val="333333"/>
          <w:sz w:val="24"/>
          <w:szCs w:val="23"/>
        </w:rPr>
        <w:t>es) de discriminación, acoso y/</w:t>
      </w:r>
      <w:r>
        <w:rPr>
          <w:rFonts w:ascii="Times New Roman" w:hAnsi="Times New Roman"/>
          <w:color w:val="333333"/>
          <w:sz w:val="24"/>
          <w:szCs w:val="23"/>
        </w:rPr>
        <w:t xml:space="preserve">o represalias, presentada de buena fe y de acuerdo con </w:t>
      </w:r>
      <w:r w:rsidR="00272C8A">
        <w:rPr>
          <w:rFonts w:ascii="Times New Roman" w:hAnsi="Times New Roman"/>
          <w:color w:val="333333"/>
          <w:sz w:val="24"/>
          <w:szCs w:val="23"/>
        </w:rPr>
        <w:t>los</w:t>
      </w:r>
      <w:r>
        <w:t xml:space="preserve"> </w:t>
      </w:r>
      <w:r>
        <w:fldChar w:fldCharType="begin"/>
      </w:r>
      <w:r>
        <w:instrText xml:space="preserve"> HYPERLINK "http://eocr.virginia.edu/file-complaint" \t "_blank" </w:instrText>
      </w:r>
      <w:r>
        <w:fldChar w:fldCharType="separate"/>
      </w:r>
      <w:r w:rsidRPr="00272C8A" w:rsidR="00272C8A">
        <w:t xml:space="preserve"> </w:t>
      </w:r>
      <w:r w:rsidRPr="00272C8A" w:rsidR="00272C8A">
        <w:rPr>
          <w:rStyle w:val="Hyperlink"/>
          <w:rFonts w:ascii="Times New Roman" w:hAnsi="Times New Roman"/>
          <w:sz w:val="24"/>
          <w:szCs w:val="23"/>
        </w:rPr>
        <w:t>Procedimientos de prevención y tratamiento de quejas por discriminación, acoso y represalias</w:t>
      </w:r>
      <w:r w:rsidRPr="00272C8A" w:rsidR="00272C8A">
        <w:rPr>
          <w:rStyle w:val="Hyperlink"/>
          <w:rFonts w:ascii="Times New Roman" w:hAnsi="Times New Roman"/>
          <w:color w:val="auto"/>
          <w:sz w:val="24"/>
          <w:szCs w:val="23"/>
          <w:u w:val="none"/>
        </w:rPr>
        <w:t xml:space="preserve"> de EOCR</w:t>
      </w:r>
      <w:r w:rsidRPr="00272C8A">
        <w:rPr>
          <w:rStyle w:val="Hyperlink"/>
          <w:rFonts w:ascii="Times New Roman" w:hAnsi="Times New Roman"/>
          <w:color w:val="auto"/>
          <w:sz w:val="24"/>
          <w:szCs w:val="23"/>
          <w:u w:val="none"/>
        </w:rPr>
        <w:t>.</w:t>
      </w:r>
      <w:r>
        <w:fldChar w:fldCharType="end"/>
      </w:r>
    </w:p>
    <w:p w:rsidR="005910A6" w:rsidRPr="005910A6" w:rsidP="005910A6">
      <w:pPr>
        <w:shd w:val="clear" w:color="auto" w:fill="FFFFFF"/>
        <w:spacing w:after="60" w:line="240" w:lineRule="auto"/>
        <w:ind w:left="360"/>
        <w:jc w:val="both"/>
        <w:rPr>
          <w:rFonts w:ascii="Times New Roman" w:hAnsi="Times New Roman" w:cs="Times New Roman"/>
          <w:sz w:val="24"/>
        </w:rPr>
      </w:pPr>
    </w:p>
    <w:p w:rsidR="00BC0103" w:rsidP="005910A6">
      <w:pPr>
        <w:shd w:val="clear" w:color="auto" w:fill="FFFFFF"/>
        <w:spacing w:after="60" w:line="240" w:lineRule="auto"/>
        <w:ind w:left="36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Discriminación: </w:t>
      </w:r>
      <w:r>
        <w:rPr>
          <w:rFonts w:ascii="Times New Roman" w:hAnsi="Times New Roman"/>
          <w:color w:val="333333"/>
          <w:sz w:val="24"/>
          <w:szCs w:val="23"/>
        </w:rPr>
        <w:t>Tratamiento no equitativo por parte de la Universidad de una persona basado en una o más de las características o estados protegidos de esa persona, exceptuando cualquier tratamiento permitido o requerido por la ley</w:t>
      </w:r>
    </w:p>
    <w:p w:rsidR="005910A6" w:rsidRPr="00BC0103" w:rsidP="005910A6">
      <w:pPr>
        <w:shd w:val="clear" w:color="auto" w:fill="FFFFFF"/>
        <w:spacing w:after="60" w:line="240" w:lineRule="auto"/>
        <w:ind w:left="360"/>
        <w:jc w:val="both"/>
        <w:rPr>
          <w:rFonts w:ascii="Times New Roman" w:hAnsi="Times New Roman" w:cs="Times New Roman"/>
          <w:color w:val="333333"/>
          <w:sz w:val="24"/>
          <w:szCs w:val="23"/>
        </w:rPr>
      </w:pPr>
    </w:p>
    <w:p w:rsidR="00BC0103" w:rsidRPr="005910A6" w:rsidP="005910A6">
      <w:pPr>
        <w:shd w:val="clear" w:color="auto" w:fill="FFFFFF"/>
        <w:spacing w:after="360" w:line="240" w:lineRule="auto"/>
        <w:ind w:left="72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Características / Estatutos Protegidos: </w:t>
      </w:r>
      <w:r>
        <w:rPr>
          <w:rFonts w:ascii="Times New Roman" w:hAnsi="Times New Roman"/>
          <w:color w:val="333333"/>
          <w:sz w:val="24"/>
          <w:szCs w:val="23"/>
        </w:rPr>
        <w:t xml:space="preserve">Edad, color, discapacidad, identidad de género, estado civil, origen nacional o étnico, afiliación política, raza, religión, sexo (incluido el </w:t>
      </w:r>
      <w:r>
        <w:rPr>
          <w:rFonts w:ascii="Times New Roman" w:hAnsi="Times New Roman"/>
          <w:color w:val="333333"/>
          <w:sz w:val="24"/>
          <w:szCs w:val="23"/>
        </w:rPr>
        <w:t>embarazo), orientación sexual, estado de veterano e información médica o genética de la familia.</w:t>
      </w:r>
    </w:p>
    <w:p w:rsidR="00BC0103" w:rsidP="005910A6">
      <w:pPr>
        <w:shd w:val="clear" w:color="auto" w:fill="FFFFFF"/>
        <w:spacing w:after="60" w:line="240" w:lineRule="auto"/>
        <w:ind w:left="36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Acoso: </w:t>
      </w:r>
      <w:r>
        <w:rPr>
          <w:rFonts w:ascii="Times New Roman" w:hAnsi="Times New Roman"/>
          <w:color w:val="333333"/>
          <w:sz w:val="24"/>
          <w:szCs w:val="23"/>
        </w:rPr>
        <w:t xml:space="preserve">Conducta no deseada dirigida contra una persona basada en una o más de las características o estados protegidos de esa persona, cuya conducta es tan severa o generalizada que interfiere con el empleo, el rendimiento académico o la participación en programas o actividades de la Universidad, y crea un </w:t>
      </w:r>
      <w:r w:rsidR="003C7FA6">
        <w:rPr>
          <w:rFonts w:ascii="Times New Roman" w:hAnsi="Times New Roman"/>
          <w:color w:val="333333"/>
          <w:sz w:val="24"/>
          <w:szCs w:val="23"/>
        </w:rPr>
        <w:t>trabajo,</w:t>
      </w:r>
      <w:r>
        <w:rPr>
          <w:rFonts w:ascii="Times New Roman" w:hAnsi="Times New Roman"/>
          <w:color w:val="333333"/>
          <w:sz w:val="24"/>
          <w:szCs w:val="23"/>
        </w:rPr>
        <w:t xml:space="preserve"> programa o entorno de actividad que una persona razonable encontraría intimidante, hostil u ofensivo.</w:t>
      </w:r>
    </w:p>
    <w:p w:rsidR="005910A6" w:rsidRPr="00BC0103" w:rsidP="005910A6">
      <w:pPr>
        <w:shd w:val="clear" w:color="auto" w:fill="FFFFFF"/>
        <w:spacing w:after="60" w:line="240" w:lineRule="auto"/>
        <w:ind w:left="360"/>
        <w:jc w:val="both"/>
        <w:rPr>
          <w:rFonts w:ascii="Times New Roman" w:hAnsi="Times New Roman" w:cs="Times New Roman"/>
          <w:color w:val="333333"/>
          <w:sz w:val="24"/>
          <w:szCs w:val="23"/>
        </w:rPr>
      </w:pPr>
    </w:p>
    <w:p w:rsidR="00BC0103" w:rsidP="005910A6">
      <w:pPr>
        <w:shd w:val="clear" w:color="auto" w:fill="FFFFFF"/>
        <w:spacing w:after="60" w:line="240" w:lineRule="auto"/>
        <w:ind w:left="36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Supervisor: </w:t>
      </w:r>
      <w:r>
        <w:rPr>
          <w:rFonts w:ascii="Times New Roman" w:hAnsi="Times New Roman"/>
          <w:color w:val="333333"/>
          <w:sz w:val="24"/>
          <w:szCs w:val="23"/>
        </w:rPr>
        <w:t>Tal como se usa en esta Política, "supervisor" se refiere a cualquier persona que tenga autoridad para emprender o recomendar decisiones de empleo tangibles que afecten a un empleado o decisiones académicas que afecten a un estudiante; o para dirigir las actividades laborales de un empleado o las actividades académicas de un estudiante. Los ejemplos incluyen miembros de la facultad a quienes los estudiantes de trabajo-estudio informan y los líderes del equipo son trabajadores que, de vez en cuando, monitorean el desempeño de otros empleados o dirigen su trabajo.</w:t>
      </w:r>
    </w:p>
    <w:p w:rsidR="005910A6" w:rsidRPr="00BC0103" w:rsidP="005910A6">
      <w:pPr>
        <w:shd w:val="clear" w:color="auto" w:fill="FFFFFF"/>
        <w:spacing w:after="60" w:line="240" w:lineRule="auto"/>
        <w:ind w:left="360"/>
        <w:jc w:val="both"/>
        <w:rPr>
          <w:rFonts w:ascii="Times New Roman" w:hAnsi="Times New Roman" w:cs="Times New Roman"/>
          <w:color w:val="333333"/>
          <w:sz w:val="24"/>
          <w:szCs w:val="23"/>
        </w:rPr>
      </w:pPr>
    </w:p>
    <w:p w:rsidR="00BC0103" w:rsidP="005910A6">
      <w:pPr>
        <w:shd w:val="clear" w:color="auto" w:fill="FFFFFF"/>
        <w:spacing w:after="60" w:line="240" w:lineRule="auto"/>
        <w:ind w:left="360"/>
        <w:jc w:val="both"/>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Universidad: </w:t>
      </w:r>
      <w:r>
        <w:rPr>
          <w:rFonts w:ascii="Times New Roman" w:hAnsi="Times New Roman"/>
          <w:color w:val="333333"/>
          <w:sz w:val="24"/>
          <w:szCs w:val="23"/>
        </w:rPr>
        <w:t>Como se usa en esta Política, "Universidad" se refiere a la Universidad de Virginia, incluido su Centro Médico y el College at Wise.</w:t>
      </w:r>
    </w:p>
    <w:p w:rsidR="005910A6" w:rsidRPr="00BC0103" w:rsidP="005910A6">
      <w:pPr>
        <w:shd w:val="clear" w:color="auto" w:fill="FFFFFF"/>
        <w:spacing w:after="60" w:line="240" w:lineRule="auto"/>
        <w:ind w:left="360"/>
        <w:rPr>
          <w:rFonts w:ascii="Times New Roman" w:hAnsi="Times New Roman" w:cs="Times New Roman"/>
          <w:color w:val="333333"/>
          <w:sz w:val="24"/>
          <w:szCs w:val="23"/>
        </w:rPr>
      </w:pPr>
    </w:p>
    <w:p w:rsidR="00BC0103" w:rsidRPr="005910A6" w:rsidP="00BC0103">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Declaración de política:</w:t>
      </w:r>
    </w:p>
    <w:p w:rsidR="00BC0103" w:rsidRPr="00BC0103" w:rsidP="005910A6">
      <w:pPr>
        <w:pStyle w:val="NormalWeb"/>
        <w:shd w:val="clear" w:color="auto" w:fill="FFFFFF"/>
        <w:spacing w:before="0" w:beforeAutospacing="0" w:after="360" w:afterAutospacing="0"/>
        <w:jc w:val="both"/>
        <w:rPr>
          <w:sz w:val="28"/>
        </w:rPr>
      </w:pPr>
      <w:bookmarkStart w:id="1" w:name="Statement"/>
      <w:bookmarkEnd w:id="1"/>
      <w:r>
        <w:rPr>
          <w:color w:val="333333"/>
          <w:szCs w:val="23"/>
        </w:rPr>
        <w:t xml:space="preserve">La Universidad no tolerará la discriminación o el acoso en el lugar de trabajo, el entorno académico o en sus programas o actividades basadas en la edad, color, discapacidad, identidad de género, estado civil, origen nacional o étnico, afiliación política, raza, religión, </w:t>
      </w:r>
      <w:r w:rsidR="003C7FA6">
        <w:rPr>
          <w:color w:val="333333"/>
          <w:szCs w:val="23"/>
        </w:rPr>
        <w:t>sexo)</w:t>
      </w:r>
      <w:r>
        <w:rPr>
          <w:color w:val="333333"/>
          <w:szCs w:val="23"/>
        </w:rPr>
        <w:t>, orientación sexual, estado de veterano o información médica o genética de la familia. Se pretende que esta política sea coherente con las leyes federales y estatales aplicables y las políticas estatales y universitarias. La</w:t>
      </w:r>
      <w:r>
        <w:t xml:space="preserve"> </w:t>
      </w:r>
      <w:r>
        <w:fldChar w:fldCharType="begin"/>
      </w:r>
      <w:r>
        <w:instrText xml:space="preserve"> HYPERLINK "http://eocr.virginia.edu/" \t "_blank" </w:instrText>
      </w:r>
      <w:r>
        <w:fldChar w:fldCharType="separate"/>
      </w:r>
      <w:r>
        <w:rPr>
          <w:rStyle w:val="Hyperlink"/>
        </w:rPr>
        <w:t>Oficina de Igualdad de Oportunidades y Derechos Civiles</w:t>
      </w:r>
      <w:r>
        <w:fldChar w:fldCharType="end"/>
      </w:r>
      <w:r>
        <w:t xml:space="preserve"> </w:t>
      </w:r>
      <w:r>
        <w:rPr>
          <w:color w:val="333333"/>
          <w:szCs w:val="23"/>
        </w:rPr>
        <w:t>(EOCR, por sus siglas en inglés) es responsable de hacer cumplir esta política en nombre de la Universidad y tiene</w:t>
      </w:r>
      <w:r>
        <w:t xml:space="preserve"> </w:t>
      </w:r>
      <w:r>
        <w:fldChar w:fldCharType="begin"/>
      </w:r>
      <w:r>
        <w:instrText xml:space="preserve"> HYPERLINK "http://eocr.virginia.edu/file-complaint-0" \t "_blank" </w:instrText>
      </w:r>
      <w:r>
        <w:fldChar w:fldCharType="separate"/>
      </w:r>
      <w:r>
        <w:rPr>
          <w:rStyle w:val="Hyperlink"/>
        </w:rPr>
        <w:t>procedimientos de quejas</w:t>
      </w:r>
      <w:r>
        <w:fldChar w:fldCharType="end"/>
      </w:r>
      <w:r>
        <w:t xml:space="preserve"> </w:t>
      </w:r>
      <w:r>
        <w:rPr>
          <w:color w:val="333333"/>
          <w:szCs w:val="23"/>
        </w:rPr>
        <w:t>disponibles para hacerlo.</w:t>
      </w:r>
    </w:p>
    <w:p w:rsidR="00BC0103" w:rsidRPr="00BC0103" w:rsidP="005910A6">
      <w:pPr>
        <w:pStyle w:val="NormalWeb"/>
        <w:shd w:val="clear" w:color="auto" w:fill="FFFFFF"/>
        <w:spacing w:before="0" w:beforeAutospacing="0" w:after="360" w:afterAutospacing="0"/>
        <w:jc w:val="both"/>
        <w:rPr>
          <w:color w:val="333333"/>
          <w:szCs w:val="23"/>
        </w:rPr>
      </w:pPr>
      <w:r>
        <w:rPr>
          <w:color w:val="333333"/>
          <w:szCs w:val="23"/>
        </w:rPr>
        <w:t xml:space="preserve">A partir del 30 de marzo de 2015, esta Política </w:t>
      </w:r>
      <w:r>
        <w:rPr>
          <w:color w:val="333333"/>
          <w:szCs w:val="23"/>
          <w:u w:val="single"/>
        </w:rPr>
        <w:t>no</w:t>
      </w:r>
      <w:r>
        <w:rPr>
          <w:color w:val="333333"/>
          <w:szCs w:val="23"/>
        </w:rPr>
        <w:t xml:space="preserve"> aborda </w:t>
      </w:r>
      <w:r>
        <w:rPr>
          <w:rStyle w:val="Strong"/>
          <w:color w:val="333333"/>
          <w:szCs w:val="23"/>
        </w:rPr>
        <w:t xml:space="preserve">la agresión </w:t>
      </w:r>
      <w:r w:rsidR="00ED7367">
        <w:rPr>
          <w:rStyle w:val="Strong"/>
          <w:color w:val="333333"/>
          <w:szCs w:val="23"/>
        </w:rPr>
        <w:t>sexual</w:t>
      </w:r>
      <w:r w:rsidR="00ED7367">
        <w:rPr>
          <w:color w:val="333333"/>
          <w:szCs w:val="23"/>
        </w:rPr>
        <w:t>,</w:t>
      </w:r>
      <w:r>
        <w:rPr>
          <w:color w:val="333333"/>
          <w:szCs w:val="23"/>
        </w:rPr>
        <w:t xml:space="preserve"> </w:t>
      </w:r>
      <w:r>
        <w:rPr>
          <w:rStyle w:val="Strong"/>
          <w:color w:val="333333"/>
          <w:szCs w:val="23"/>
        </w:rPr>
        <w:t xml:space="preserve">la explotación </w:t>
      </w:r>
      <w:r w:rsidR="00ED7367">
        <w:rPr>
          <w:rStyle w:val="Strong"/>
          <w:color w:val="333333"/>
          <w:szCs w:val="23"/>
        </w:rPr>
        <w:t>sexual</w:t>
      </w:r>
      <w:r w:rsidR="00ED7367">
        <w:rPr>
          <w:color w:val="333333"/>
          <w:szCs w:val="23"/>
        </w:rPr>
        <w:t>,</w:t>
      </w:r>
      <w:r>
        <w:rPr>
          <w:color w:val="333333"/>
          <w:szCs w:val="23"/>
        </w:rPr>
        <w:t xml:space="preserve"> la </w:t>
      </w:r>
      <w:r>
        <w:rPr>
          <w:rStyle w:val="Strong"/>
          <w:color w:val="333333"/>
          <w:szCs w:val="23"/>
        </w:rPr>
        <w:t xml:space="preserve">violencia de </w:t>
      </w:r>
      <w:r w:rsidR="00ED7367">
        <w:rPr>
          <w:rStyle w:val="Strong"/>
          <w:color w:val="333333"/>
          <w:szCs w:val="23"/>
        </w:rPr>
        <w:t>pareja</w:t>
      </w:r>
      <w:r w:rsidR="00ED7367">
        <w:rPr>
          <w:color w:val="333333"/>
          <w:szCs w:val="23"/>
        </w:rPr>
        <w:t>,</w:t>
      </w:r>
      <w:r>
        <w:rPr>
          <w:color w:val="333333"/>
          <w:szCs w:val="23"/>
        </w:rPr>
        <w:t xml:space="preserve"> el </w:t>
      </w:r>
      <w:r>
        <w:rPr>
          <w:rStyle w:val="Strong"/>
          <w:color w:val="333333"/>
          <w:szCs w:val="23"/>
        </w:rPr>
        <w:t>acoso</w:t>
      </w:r>
      <w:r>
        <w:rPr>
          <w:color w:val="333333"/>
          <w:szCs w:val="23"/>
        </w:rPr>
        <w:t xml:space="preserve"> o </w:t>
      </w:r>
      <w:r>
        <w:rPr>
          <w:rStyle w:val="Strong"/>
          <w:color w:val="333333"/>
          <w:szCs w:val="23"/>
        </w:rPr>
        <w:t>el</w:t>
      </w:r>
      <w:r>
        <w:rPr>
          <w:color w:val="333333"/>
          <w:szCs w:val="23"/>
        </w:rPr>
        <w:t xml:space="preserve"> </w:t>
      </w:r>
      <w:r>
        <w:rPr>
          <w:rStyle w:val="Strong"/>
          <w:color w:val="333333"/>
          <w:szCs w:val="23"/>
        </w:rPr>
        <w:t>acoso</w:t>
      </w:r>
      <w:r>
        <w:rPr>
          <w:color w:val="333333"/>
          <w:szCs w:val="23"/>
        </w:rPr>
        <w:t xml:space="preserve"> </w:t>
      </w:r>
      <w:r>
        <w:rPr>
          <w:rStyle w:val="Strong"/>
          <w:color w:val="333333"/>
          <w:szCs w:val="23"/>
        </w:rPr>
        <w:t xml:space="preserve">sexual o de </w:t>
      </w:r>
      <w:r w:rsidR="00ED7367">
        <w:rPr>
          <w:rStyle w:val="Strong"/>
          <w:color w:val="333333"/>
          <w:szCs w:val="23"/>
        </w:rPr>
        <w:t>género</w:t>
      </w:r>
      <w:r w:rsidR="00ED7367">
        <w:rPr>
          <w:color w:val="333333"/>
          <w:szCs w:val="23"/>
        </w:rPr>
        <w:t>.</w:t>
      </w:r>
      <w:r>
        <w:rPr>
          <w:color w:val="333333"/>
          <w:szCs w:val="23"/>
        </w:rPr>
        <w:t xml:space="preserve"> Esas categorías de conducta prohibida ahora se rigen por</w:t>
      </w:r>
      <w:r>
        <w:t xml:space="preserve"> </w:t>
      </w:r>
      <w:r>
        <w:fldChar w:fldCharType="begin"/>
      </w:r>
      <w:r>
        <w:instrText xml:space="preserve"> HYPERLINK "http://uvapolicy.virginia.edu/policy/HRM-041" </w:instrText>
      </w:r>
      <w:r>
        <w:fldChar w:fldCharType="separate"/>
      </w:r>
      <w:r>
        <w:rPr>
          <w:rStyle w:val="Hyperlink"/>
        </w:rPr>
        <w:t>HRM-041, Política sobre acoso sexual y de género y otras formas de violencia interpersonal</w:t>
      </w:r>
      <w:r>
        <w:fldChar w:fldCharType="end"/>
      </w:r>
      <w:r>
        <w:t xml:space="preserve"> </w:t>
      </w:r>
      <w:r>
        <w:rPr>
          <w:color w:val="333333"/>
          <w:szCs w:val="23"/>
        </w:rPr>
        <w:t>("política del Título IX"), que también establece procedimientos separados que describen las opciones de informe y explican cómo</w:t>
      </w:r>
      <w:r w:rsidR="00ED7367">
        <w:rPr>
          <w:color w:val="333333"/>
          <w:szCs w:val="23"/>
        </w:rPr>
        <w:t xml:space="preserve"> la Universidad</w:t>
      </w:r>
      <w:r>
        <w:rPr>
          <w:color w:val="333333"/>
          <w:szCs w:val="23"/>
        </w:rPr>
        <w:t xml:space="preserve"> evalúa, investiga y resuelve informes de dicha conducta prohibida contra estudiantes (</w:t>
      </w:r>
      <w:r>
        <w:fldChar w:fldCharType="begin"/>
      </w:r>
      <w:r>
        <w:instrText xml:space="preserve"> HYPERLINK "https://eocr.virginia.edu/appendixa" \t "_blank" </w:instrText>
      </w:r>
      <w:r>
        <w:fldChar w:fldCharType="separate"/>
      </w:r>
      <w:r>
        <w:rPr>
          <w:rStyle w:val="Hyperlink"/>
        </w:rPr>
        <w:t>Apéndice A</w:t>
      </w:r>
      <w:r>
        <w:fldChar w:fldCharType="end"/>
      </w:r>
      <w:r>
        <w:rPr>
          <w:color w:val="333333"/>
          <w:szCs w:val="23"/>
        </w:rPr>
        <w:t>) y empleados (</w:t>
      </w:r>
      <w:r>
        <w:fldChar w:fldCharType="begin"/>
      </w:r>
      <w:r>
        <w:instrText xml:space="preserve"> HYPERLINK "http://eocr.virginia.edu/appendixb" \t "_blank" </w:instrText>
      </w:r>
      <w:r>
        <w:fldChar w:fldCharType="separate"/>
      </w:r>
      <w:r>
        <w:rPr>
          <w:rStyle w:val="Hyperlink"/>
        </w:rPr>
        <w:t>Apéndice B</w:t>
      </w:r>
      <w:r>
        <w:fldChar w:fldCharType="end"/>
      </w:r>
      <w:r>
        <w:rPr>
          <w:color w:val="333333"/>
          <w:szCs w:val="23"/>
        </w:rPr>
        <w:t>). La política del Título IX y los procedimientos relacionados reemplazan cualquier información conflictiva contenida en esta Política o en los Procedimientos de Quejas de PADHR con respecto a la conducta que la política del Título IX específicamente prohíbe.</w:t>
      </w:r>
    </w:p>
    <w:p w:rsidR="00BC0103" w:rsidRPr="00BC0103" w:rsidP="005910A6">
      <w:pPr>
        <w:pStyle w:val="NormalWeb"/>
        <w:shd w:val="clear" w:color="auto" w:fill="FFFFFF"/>
        <w:spacing w:before="0" w:beforeAutospacing="0" w:after="360" w:afterAutospacing="0"/>
        <w:jc w:val="both"/>
        <w:rPr>
          <w:color w:val="333333"/>
          <w:szCs w:val="23"/>
        </w:rPr>
      </w:pPr>
      <w:r>
        <w:rPr>
          <w:color w:val="333333"/>
          <w:szCs w:val="23"/>
        </w:rPr>
        <w:t>Todos los miembros de la gerencia, los supervisores, los profesores y la universidad, el personal clasificado y del Centro Médico son responsables de completar con éxito la</w:t>
      </w:r>
      <w:r>
        <w:t xml:space="preserve"> </w:t>
      </w:r>
      <w:r>
        <w:fldChar w:fldCharType="begin"/>
      </w:r>
      <w:r>
        <w:instrText xml:space="preserve"> HYPERLINK "http://eocr.virginia.edu/prevention-and-training" \t "_blank" </w:instrText>
      </w:r>
      <w:r>
        <w:fldChar w:fldCharType="separate"/>
      </w:r>
      <w:r w:rsidRPr="00ED7367" w:rsidR="00ED7367">
        <w:rPr>
          <w:rStyle w:val="Hyperlink"/>
        </w:rPr>
        <w:t>c</w:t>
      </w:r>
      <w:r w:rsidR="00416342">
        <w:rPr>
          <w:rStyle w:val="Hyperlink"/>
        </w:rPr>
        <w:t>apacitación c</w:t>
      </w:r>
      <w:r w:rsidRPr="00ED7367" w:rsidR="00ED7367">
        <w:rPr>
          <w:rStyle w:val="Hyperlink"/>
        </w:rPr>
        <w:t>ontra la discrimin</w:t>
      </w:r>
      <w:r w:rsidR="00ED7367">
        <w:rPr>
          <w:rStyle w:val="Hyperlink"/>
        </w:rPr>
        <w:t>ación, el acoso y la represalia</w:t>
      </w:r>
      <w:r w:rsidRPr="00ED7367">
        <w:rPr>
          <w:rStyle w:val="Hyperlink"/>
          <w:color w:val="auto"/>
          <w:u w:val="none"/>
        </w:rPr>
        <w:t xml:space="preserve"> de la</w:t>
      </w:r>
      <w:r>
        <w:fldChar w:fldCharType="end"/>
      </w:r>
      <w:r>
        <w:t xml:space="preserve"> </w:t>
      </w:r>
      <w:r>
        <w:rPr>
          <w:color w:val="333333"/>
          <w:szCs w:val="23"/>
        </w:rPr>
        <w:t>Universidad al menos cada dos años.</w:t>
      </w:r>
    </w:p>
    <w:p w:rsidR="00BC0103" w:rsidRPr="00BC0103" w:rsidP="00BC0103">
      <w:pPr>
        <w:pStyle w:val="NormalWeb"/>
        <w:shd w:val="clear" w:color="auto" w:fill="FFFFFF"/>
        <w:spacing w:before="0" w:beforeAutospacing="0" w:after="360" w:afterAutospacing="0"/>
        <w:rPr>
          <w:color w:val="333333"/>
          <w:szCs w:val="23"/>
        </w:rPr>
      </w:pPr>
      <w:r>
        <w:rPr>
          <w:color w:val="333333"/>
          <w:szCs w:val="23"/>
        </w:rPr>
        <w:t>Además, los supervisores son responsables de:</w:t>
      </w:r>
    </w:p>
    <w:p w:rsidR="00BC0103" w:rsidRPr="00BC0103" w:rsidP="005910A6">
      <w:pPr>
        <w:numPr>
          <w:ilvl w:val="0"/>
          <w:numId w:val="17"/>
        </w:numPr>
        <w:shd w:val="clear" w:color="auto" w:fill="FFFFFF"/>
        <w:spacing w:before="100" w:beforeAutospacing="1" w:after="120" w:line="240" w:lineRule="auto"/>
        <w:rPr>
          <w:rFonts w:ascii="Times New Roman" w:hAnsi="Times New Roman" w:cs="Times New Roman"/>
          <w:color w:val="333333"/>
          <w:sz w:val="24"/>
          <w:szCs w:val="23"/>
        </w:rPr>
      </w:pPr>
      <w:r>
        <w:rPr>
          <w:rFonts w:ascii="Times New Roman" w:hAnsi="Times New Roman"/>
          <w:color w:val="333333"/>
          <w:sz w:val="24"/>
          <w:szCs w:val="23"/>
        </w:rPr>
        <w:t>conocer y entender esta Política;</w:t>
      </w:r>
    </w:p>
    <w:p w:rsidR="00BC0103" w:rsidRPr="00BC0103" w:rsidP="005910A6">
      <w:pPr>
        <w:numPr>
          <w:ilvl w:val="0"/>
          <w:numId w:val="17"/>
        </w:numPr>
        <w:shd w:val="clear" w:color="auto" w:fill="FFFFFF"/>
        <w:spacing w:before="100" w:beforeAutospacing="1" w:after="120" w:line="240" w:lineRule="auto"/>
        <w:rPr>
          <w:rFonts w:ascii="Times New Roman" w:hAnsi="Times New Roman" w:cs="Times New Roman"/>
          <w:color w:val="333333"/>
          <w:sz w:val="24"/>
          <w:szCs w:val="23"/>
        </w:rPr>
      </w:pPr>
      <w:r>
        <w:rPr>
          <w:rFonts w:ascii="Times New Roman" w:hAnsi="Times New Roman"/>
          <w:color w:val="333333"/>
          <w:sz w:val="24"/>
          <w:szCs w:val="23"/>
        </w:rPr>
        <w:t>explica</w:t>
      </w:r>
      <w:r w:rsidR="00ED7367">
        <w:rPr>
          <w:rFonts w:ascii="Times New Roman" w:hAnsi="Times New Roman"/>
          <w:color w:val="333333"/>
          <w:sz w:val="24"/>
          <w:szCs w:val="23"/>
        </w:rPr>
        <w:t>r</w:t>
      </w:r>
      <w:r>
        <w:rPr>
          <w:rFonts w:ascii="Times New Roman" w:hAnsi="Times New Roman"/>
          <w:color w:val="333333"/>
          <w:sz w:val="24"/>
          <w:szCs w:val="23"/>
        </w:rPr>
        <w:t xml:space="preserve"> esta Política a personas bajo su supervisión;</w:t>
      </w:r>
    </w:p>
    <w:p w:rsidR="00BC0103" w:rsidRPr="00BC0103" w:rsidP="005910A6">
      <w:pPr>
        <w:numPr>
          <w:ilvl w:val="0"/>
          <w:numId w:val="17"/>
        </w:numPr>
        <w:shd w:val="clear" w:color="auto" w:fill="FFFFFF"/>
        <w:spacing w:before="100" w:beforeAutospacing="1" w:after="120" w:line="240" w:lineRule="auto"/>
        <w:rPr>
          <w:rFonts w:ascii="Times New Roman" w:hAnsi="Times New Roman" w:cs="Times New Roman"/>
          <w:color w:val="333333"/>
          <w:sz w:val="24"/>
          <w:szCs w:val="23"/>
        </w:rPr>
      </w:pPr>
      <w:r>
        <w:rPr>
          <w:rFonts w:ascii="Times New Roman" w:hAnsi="Times New Roman"/>
          <w:color w:val="333333"/>
          <w:sz w:val="24"/>
          <w:szCs w:val="23"/>
        </w:rPr>
        <w:t>tomar las medidas adecuadas para prevenir la discriminación y el acoso;</w:t>
      </w:r>
    </w:p>
    <w:p w:rsidR="00BC0103" w:rsidRPr="00BC0103" w:rsidP="005910A6">
      <w:pPr>
        <w:numPr>
          <w:ilvl w:val="0"/>
          <w:numId w:val="17"/>
        </w:numPr>
        <w:shd w:val="clear" w:color="auto" w:fill="FFFFFF"/>
        <w:spacing w:before="100" w:beforeAutospacing="1" w:after="120" w:line="240" w:lineRule="auto"/>
        <w:rPr>
          <w:rFonts w:ascii="Times New Roman" w:hAnsi="Times New Roman" w:cs="Times New Roman"/>
          <w:color w:val="333333"/>
          <w:sz w:val="24"/>
          <w:szCs w:val="23"/>
        </w:rPr>
      </w:pPr>
      <w:r>
        <w:rPr>
          <w:rFonts w:ascii="Times New Roman" w:hAnsi="Times New Roman"/>
          <w:color w:val="333333"/>
          <w:sz w:val="24"/>
          <w:szCs w:val="23"/>
        </w:rPr>
        <w:t>ser receptivo a las preocupacion</w:t>
      </w:r>
      <w:r w:rsidR="00ED7367">
        <w:rPr>
          <w:rFonts w:ascii="Times New Roman" w:hAnsi="Times New Roman"/>
          <w:color w:val="333333"/>
          <w:sz w:val="24"/>
          <w:szCs w:val="23"/>
        </w:rPr>
        <w:t>es y quejas de discriminación y</w:t>
      </w:r>
      <w:r>
        <w:rPr>
          <w:rFonts w:ascii="Times New Roman" w:hAnsi="Times New Roman"/>
          <w:color w:val="333333"/>
          <w:sz w:val="24"/>
          <w:szCs w:val="23"/>
        </w:rPr>
        <w:t>/o acoso;</w:t>
      </w:r>
    </w:p>
    <w:p w:rsidR="00BC0103" w:rsidRPr="00BC0103" w:rsidP="005910A6">
      <w:pPr>
        <w:numPr>
          <w:ilvl w:val="0"/>
          <w:numId w:val="17"/>
        </w:numPr>
        <w:shd w:val="clear" w:color="auto" w:fill="FFFFFF"/>
        <w:spacing w:before="100" w:beforeAutospacing="1" w:after="120" w:line="240" w:lineRule="auto"/>
        <w:rPr>
          <w:rFonts w:ascii="Times New Roman" w:hAnsi="Times New Roman" w:cs="Times New Roman"/>
          <w:color w:val="333333"/>
          <w:sz w:val="24"/>
          <w:szCs w:val="23"/>
        </w:rPr>
      </w:pPr>
      <w:r>
        <w:rPr>
          <w:rFonts w:ascii="Times New Roman" w:hAnsi="Times New Roman"/>
          <w:color w:val="333333"/>
          <w:sz w:val="24"/>
          <w:szCs w:val="23"/>
        </w:rPr>
        <w:t>tomar las medidas apropiadas (en consulta con EOCR) cuando tengan conocimiento de posibles violaciones de esta política; y</w:t>
      </w:r>
    </w:p>
    <w:p w:rsidR="00BC0103" w:rsidRPr="00BC0103" w:rsidP="005910A6">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3"/>
        </w:rPr>
      </w:pPr>
      <w:r>
        <w:rPr>
          <w:rFonts w:ascii="Times New Roman" w:hAnsi="Times New Roman"/>
          <w:color w:val="333333"/>
          <w:sz w:val="24"/>
          <w:szCs w:val="23"/>
        </w:rPr>
        <w:t>dar seguimiento a las personas que presentan quejas de discriminación o acoso para asegurarles que sus quejas fueron investigadas y para determinar si alguna acción correctiva tuvo éxito</w:t>
      </w:r>
    </w:p>
    <w:p w:rsidR="00BC0103" w:rsidRPr="00BC0103" w:rsidP="00F132B9">
      <w:pPr>
        <w:pStyle w:val="NormalWeb"/>
        <w:shd w:val="clear" w:color="auto" w:fill="FFFFFF"/>
        <w:spacing w:before="0" w:beforeAutospacing="0" w:after="360" w:afterAutospacing="0"/>
        <w:jc w:val="both"/>
        <w:rPr>
          <w:color w:val="333333"/>
          <w:szCs w:val="23"/>
        </w:rPr>
      </w:pPr>
      <w:r>
        <w:rPr>
          <w:color w:val="333333"/>
          <w:szCs w:val="23"/>
        </w:rPr>
        <w:t>Los supervisores que no cumplan completamente con sus responsabilidades bajo esta Política serán calificados desfavorablemente en sus evaluaciones de desempeño y pueden estar sujetos a medidas disciplinarias, hasta e incluyendo la terminación</w:t>
      </w:r>
      <w:r w:rsidR="00ED7367">
        <w:rPr>
          <w:color w:val="333333"/>
          <w:szCs w:val="23"/>
        </w:rPr>
        <w:t xml:space="preserve"> del empleo</w:t>
      </w:r>
      <w:r>
        <w:rPr>
          <w:color w:val="333333"/>
          <w:szCs w:val="23"/>
        </w:rPr>
        <w:t>.</w:t>
      </w:r>
    </w:p>
    <w:p w:rsidR="00BC0103" w:rsidRPr="00F132B9" w:rsidP="00F132B9">
      <w:pPr>
        <w:jc w:val="both"/>
        <w:rPr>
          <w:rStyle w:val="field-content"/>
          <w:rFonts w:ascii="Times New Roman" w:hAnsi="Times New Roman" w:cs="Times New Roman"/>
          <w:b/>
          <w:sz w:val="28"/>
          <w:shd w:val="clear" w:color="auto" w:fill="FFFFFF"/>
        </w:rPr>
      </w:pPr>
      <w:r>
        <w:rPr>
          <w:rStyle w:val="views-label"/>
          <w:rFonts w:ascii="Times New Roman" w:hAnsi="Times New Roman"/>
          <w:b/>
          <w:color w:val="002654"/>
          <w:sz w:val="28"/>
          <w:szCs w:val="23"/>
          <w:shd w:val="clear" w:color="auto" w:fill="FFFFFF"/>
        </w:rPr>
        <w:t>Procedimientos:</w:t>
      </w:r>
    </w:p>
    <w:p w:rsidR="00BC0103" w:rsidRPr="00BC0103" w:rsidP="00F132B9">
      <w:pPr>
        <w:pStyle w:val="NormalWeb"/>
        <w:spacing w:before="0" w:beforeAutospacing="0" w:after="360" w:afterAutospacing="0"/>
        <w:jc w:val="both"/>
        <w:rPr>
          <w:sz w:val="28"/>
        </w:rPr>
      </w:pPr>
      <w:bookmarkStart w:id="2" w:name="Procedures"/>
      <w:bookmarkEnd w:id="2"/>
      <w:r>
        <w:rPr>
          <w:color w:val="333333"/>
          <w:szCs w:val="23"/>
          <w:shd w:val="clear" w:color="auto" w:fill="FFFFFF"/>
        </w:rPr>
        <w:t>Una queja puede ser presentada ante el EOCR por cualquier empleado actual o anterior de la Universidad, estudiante, solicitante de admisión o empleo, o participante en un programa o actividad de la Universidad, que crea que ha</w:t>
      </w:r>
      <w:r w:rsidR="00ED7367">
        <w:rPr>
          <w:color w:val="333333"/>
          <w:szCs w:val="23"/>
          <w:shd w:val="clear" w:color="auto" w:fill="FFFFFF"/>
        </w:rPr>
        <w:t>ya</w:t>
      </w:r>
      <w:r>
        <w:rPr>
          <w:color w:val="333333"/>
          <w:szCs w:val="23"/>
          <w:shd w:val="clear" w:color="auto" w:fill="FFFFFF"/>
        </w:rPr>
        <w:t xml:space="preserve"> sido discriminado o acosado en violación de est</w:t>
      </w:r>
      <w:r w:rsidR="00ED7367">
        <w:rPr>
          <w:color w:val="333333"/>
          <w:szCs w:val="23"/>
          <w:shd w:val="clear" w:color="auto" w:fill="FFFFFF"/>
        </w:rPr>
        <w:t>a</w:t>
      </w:r>
      <w:r>
        <w:rPr>
          <w:color w:val="333333"/>
          <w:szCs w:val="23"/>
          <w:shd w:val="clear" w:color="auto" w:fill="FFFFFF"/>
        </w:rPr>
        <w:t xml:space="preserve"> Política. Cualquier queja de este tipo debe presentarse dentro de los 300 días calendario posteriores al incidente.</w:t>
      </w:r>
    </w:p>
    <w:p w:rsidR="00BC0103" w:rsidRPr="00BC0103" w:rsidP="00F132B9">
      <w:pPr>
        <w:pStyle w:val="NormalWeb"/>
        <w:spacing w:before="0" w:beforeAutospacing="0" w:after="360" w:afterAutospacing="0"/>
        <w:jc w:val="both"/>
        <w:rPr>
          <w:color w:val="333333"/>
          <w:szCs w:val="23"/>
          <w:shd w:val="clear" w:color="auto" w:fill="FFFFFF"/>
        </w:rPr>
      </w:pPr>
      <w:r>
        <w:rPr>
          <w:color w:val="333333"/>
          <w:szCs w:val="23"/>
          <w:shd w:val="clear" w:color="auto" w:fill="FFFFFF"/>
        </w:rPr>
        <w:t>Esta Política, así como el</w:t>
      </w:r>
      <w:r>
        <w:t xml:space="preserve"> </w:t>
      </w:r>
      <w:r>
        <w:fldChar w:fldCharType="begin"/>
      </w:r>
      <w:r>
        <w:instrText xml:space="preserve"> HYPERLINK "http://eocr.virginia.edu/file-complaint" </w:instrText>
      </w:r>
      <w:r>
        <w:fldChar w:fldCharType="separate"/>
      </w:r>
      <w:r>
        <w:rPr>
          <w:rStyle w:val="Hyperlink"/>
          <w:szCs w:val="23"/>
          <w:shd w:val="clear" w:color="auto" w:fill="FFFFFF"/>
        </w:rPr>
        <w:t>Formulario de Quejas</w:t>
      </w:r>
      <w:r>
        <w:fldChar w:fldCharType="end"/>
      </w:r>
      <w:r>
        <w:t xml:space="preserve"> </w:t>
      </w:r>
      <w:r w:rsidR="00AC00C8">
        <w:rPr>
          <w:color w:val="333333"/>
          <w:szCs w:val="23"/>
          <w:shd w:val="clear" w:color="auto" w:fill="FFFFFF"/>
        </w:rPr>
        <w:t>y los</w:t>
      </w:r>
      <w:r>
        <w:t xml:space="preserve"> </w:t>
      </w:r>
      <w:r w:rsidRPr="00AC00C8" w:rsidR="00AC00C8">
        <w:rPr>
          <w:rStyle w:val="Hyperlink"/>
          <w:szCs w:val="23"/>
          <w:shd w:val="clear" w:color="auto" w:fill="FFFFFF"/>
        </w:rPr>
        <w:t>Procedimientos de prevención y tratamiento de quejas por discriminación, acoso y represalias</w:t>
      </w:r>
      <w:r>
        <w:t xml:space="preserve"> </w:t>
      </w:r>
      <w:r w:rsidR="00ED7367">
        <w:t xml:space="preserve">de </w:t>
      </w:r>
      <w:r>
        <w:rPr>
          <w:color w:val="333333"/>
          <w:szCs w:val="23"/>
          <w:shd w:val="clear" w:color="auto" w:fill="FFFFFF"/>
        </w:rPr>
        <w:t>EOCR</w:t>
      </w:r>
      <w:r>
        <w:t xml:space="preserve"> </w:t>
      </w:r>
      <w:r>
        <w:rPr>
          <w:color w:val="333333"/>
          <w:szCs w:val="23"/>
          <w:shd w:val="clear" w:color="auto" w:fill="FFFFFF"/>
        </w:rPr>
        <w:t xml:space="preserve">están disponibles en línea y en material impreso. Además, esta política se presenta </w:t>
      </w:r>
      <w:r w:rsidRPr="00ED7367">
        <w:rPr>
          <w:rStyle w:val="Hyperlink"/>
        </w:rPr>
        <w:t>en</w:t>
      </w:r>
      <w:r w:rsidRPr="00ED7367">
        <w:rPr>
          <w:rStyle w:val="Hyperlink"/>
          <w:szCs w:val="23"/>
          <w:shd w:val="clear" w:color="auto" w:fill="FFFFFF"/>
        </w:rPr>
        <w:t xml:space="preserve"> </w:t>
      </w:r>
      <w:r>
        <w:fldChar w:fldCharType="begin"/>
      </w:r>
      <w:r>
        <w:instrText xml:space="preserve"> HYPERLINK "http://eocr.virginia.edu/prevention-and-training" \t "_blank" </w:instrText>
      </w:r>
      <w:r>
        <w:fldChar w:fldCharType="separate"/>
      </w:r>
      <w:r>
        <w:rPr>
          <w:rStyle w:val="Hyperlink"/>
          <w:szCs w:val="23"/>
          <w:shd w:val="clear" w:color="auto" w:fill="FFFFFF"/>
        </w:rPr>
        <w:t>línea y en entrenamiento en vivo</w:t>
      </w:r>
      <w:r>
        <w:fldChar w:fldCharType="end"/>
      </w:r>
      <w:r>
        <w:t xml:space="preserve"> </w:t>
      </w:r>
      <w:r>
        <w:rPr>
          <w:color w:val="333333"/>
          <w:szCs w:val="23"/>
          <w:shd w:val="clear" w:color="auto" w:fill="FFFFFF"/>
        </w:rPr>
        <w:t>ofrecido por EOCR.</w:t>
      </w:r>
    </w:p>
    <w:p w:rsidR="00BC0103" w:rsidRPr="00F132B9" w:rsidP="00BC0103">
      <w:pPr>
        <w:rPr>
          <w:rStyle w:val="field-content"/>
          <w:rFonts w:ascii="Times New Roman" w:hAnsi="Times New Roman" w:cs="Times New Roman"/>
          <w:b/>
          <w:sz w:val="28"/>
        </w:rPr>
      </w:pPr>
      <w:r>
        <w:rPr>
          <w:rStyle w:val="views-label"/>
          <w:rFonts w:ascii="Times New Roman" w:hAnsi="Times New Roman"/>
          <w:b/>
          <w:color w:val="002654"/>
          <w:sz w:val="28"/>
          <w:szCs w:val="23"/>
          <w:shd w:val="clear" w:color="auto" w:fill="FFFFFF"/>
        </w:rPr>
        <w:t>Información relacionada:</w:t>
      </w:r>
    </w:p>
    <w:p w:rsidR="00BC0103" w:rsidRPr="00BC0103" w:rsidP="00BC0103">
      <w:pPr>
        <w:pStyle w:val="NormalWeb"/>
        <w:spacing w:before="0" w:beforeAutospacing="0" w:after="360" w:afterAutospacing="0"/>
        <w:rPr>
          <w:sz w:val="28"/>
        </w:rPr>
      </w:pPr>
      <w:r>
        <w:fldChar w:fldCharType="begin"/>
      </w:r>
      <w:r>
        <w:instrText xml:space="preserve"> HYPERLINK "http://uvapolicy.virginia.edu/hrm-010" </w:instrText>
      </w:r>
      <w:r>
        <w:fldChar w:fldCharType="separate"/>
      </w:r>
      <w:r w:rsidR="007540DB">
        <w:rPr>
          <w:rStyle w:val="Hyperlink"/>
          <w:szCs w:val="23"/>
          <w:shd w:val="clear" w:color="auto" w:fill="FFFFFF"/>
        </w:rPr>
        <w:t>HRM-010, Prevención y tratamiento de represalias</w:t>
      </w:r>
      <w:r>
        <w:fldChar w:fldCharType="end"/>
      </w:r>
    </w:p>
    <w:p w:rsidR="00BC0103" w:rsidRPr="00BC0103" w:rsidP="00F132B9">
      <w:pPr>
        <w:pStyle w:val="NormalWeb"/>
        <w:spacing w:before="0" w:beforeAutospacing="0" w:after="360" w:afterAutospacing="0"/>
        <w:jc w:val="both"/>
        <w:rPr>
          <w:color w:val="333333"/>
          <w:szCs w:val="23"/>
          <w:shd w:val="clear" w:color="auto" w:fill="FFFFFF"/>
        </w:rPr>
      </w:pPr>
      <w:r>
        <w:rPr>
          <w:color w:val="333333"/>
          <w:szCs w:val="23"/>
          <w:shd w:val="clear" w:color="auto" w:fill="FFFFFF"/>
        </w:rPr>
        <w:t>Las políticas de EOCR se publican en toda la Universidad en materiales impresos, como folletos, catálogos y materiales de reclutamiento (estudiantes y personal)</w:t>
      </w:r>
      <w:r w:rsidR="001D7B84">
        <w:rPr>
          <w:color w:val="333333"/>
          <w:szCs w:val="23"/>
          <w:shd w:val="clear" w:color="auto" w:fill="FFFFFF"/>
        </w:rPr>
        <w:t xml:space="preserve"> de EOCR</w:t>
      </w:r>
      <w:r>
        <w:rPr>
          <w:color w:val="333333"/>
          <w:szCs w:val="23"/>
          <w:shd w:val="clear" w:color="auto" w:fill="FFFFFF"/>
        </w:rPr>
        <w:t>.</w:t>
      </w:r>
    </w:p>
    <w:p w:rsidR="00BC0103" w:rsidRPr="00F132B9" w:rsidP="00BC0103">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Antecedentes de la política:</w:t>
      </w:r>
    </w:p>
    <w:p w:rsidR="009214BD" w:rsidRPr="00BC0103" w:rsidP="00F132B9">
      <w:pPr>
        <w:pStyle w:val="NormalWeb"/>
        <w:shd w:val="clear" w:color="auto" w:fill="FFFFFF"/>
        <w:spacing w:before="0" w:beforeAutospacing="0" w:after="360" w:afterAutospacing="0"/>
        <w:jc w:val="both"/>
        <w:rPr>
          <w:sz w:val="28"/>
        </w:rPr>
      </w:pPr>
      <w:r>
        <w:rPr>
          <w:color w:val="333333"/>
          <w:szCs w:val="23"/>
        </w:rPr>
        <w:t>Esta política se basa en las leyes federales y estatales, incluidas la Orden Ejecutiva 11246, los Títulos VI y VII de la Ley de Derechos Civiles de 1964, la Ley de Discriminación por Edad en el Empleo de 1967, el Título IX de las Enmiendas de Educación de 1972, la Ley de Rehabilitación de 1973 , la Ley de Estadounidenses con Discapacidades de 1990, según enmendada, la Ley de Derechos Humanos de Virginia y la Ley de No Discriminación de Información Genética de 2008, así como la política estatal, incluida la Ord</w:t>
      </w:r>
      <w:r w:rsidR="001D7B84">
        <w:rPr>
          <w:color w:val="333333"/>
          <w:szCs w:val="23"/>
        </w:rPr>
        <w:t xml:space="preserve">en Ejecutiva del Gobernador, la Política 1.60 del </w:t>
      </w:r>
      <w:r>
        <w:rPr>
          <w:color w:val="333333"/>
          <w:szCs w:val="23"/>
        </w:rPr>
        <w:t xml:space="preserve">Departamento de Gestión de Recursos Humanos del Commonwealth (DHRM) - Normas de conducta, </w:t>
      </w:r>
      <w:r w:rsidR="001D7B84">
        <w:rPr>
          <w:color w:val="333333"/>
          <w:szCs w:val="23"/>
        </w:rPr>
        <w:t xml:space="preserve">la </w:t>
      </w:r>
      <w:r>
        <w:rPr>
          <w:color w:val="333333"/>
          <w:szCs w:val="23"/>
        </w:rPr>
        <w:t xml:space="preserve">Política 2.05 </w:t>
      </w:r>
      <w:r w:rsidR="001D7B84">
        <w:rPr>
          <w:color w:val="333333"/>
          <w:szCs w:val="23"/>
        </w:rPr>
        <w:t xml:space="preserve">de DHRM </w:t>
      </w:r>
      <w:r>
        <w:rPr>
          <w:color w:val="333333"/>
          <w:szCs w:val="23"/>
        </w:rPr>
        <w:t xml:space="preserve">- Igualdad de oportunidades de empleo, y </w:t>
      </w:r>
      <w:r w:rsidR="001D7B84">
        <w:rPr>
          <w:color w:val="333333"/>
          <w:szCs w:val="23"/>
        </w:rPr>
        <w:t xml:space="preserve">la </w:t>
      </w:r>
      <w:r>
        <w:rPr>
          <w:color w:val="333333"/>
          <w:szCs w:val="23"/>
        </w:rPr>
        <w:t>Política</w:t>
      </w:r>
      <w:r w:rsidR="001D7B84">
        <w:rPr>
          <w:color w:val="333333"/>
          <w:szCs w:val="23"/>
        </w:rPr>
        <w:t xml:space="preserve"> 2</w:t>
      </w:r>
      <w:r>
        <w:rPr>
          <w:color w:val="333333"/>
          <w:szCs w:val="23"/>
        </w:rPr>
        <w:t>.30</w:t>
      </w:r>
      <w:r w:rsidR="001D7B84">
        <w:rPr>
          <w:color w:val="333333"/>
          <w:szCs w:val="23"/>
        </w:rPr>
        <w:t xml:space="preserve"> de DHRM </w:t>
      </w:r>
      <w:r>
        <w:rPr>
          <w:color w:val="333333"/>
          <w:szCs w:val="23"/>
        </w:rPr>
        <w:t>- Hostigamiento en el lugar de trabajo.</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63FF"/>
    <w:multiLevelType w:val="hybridMultilevel"/>
    <w:tmpl w:val="D5A814EC"/>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start w:val="0"/>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131DB"/>
    <w:multiLevelType w:val="hybridMultilevel"/>
    <w:tmpl w:val="AAB469A6"/>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A45B8"/>
    <w:multiLevelType w:val="hybridMultilevel"/>
    <w:tmpl w:val="D35A9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68B1329"/>
    <w:multiLevelType w:val="hybridMultilevel"/>
    <w:tmpl w:val="5E9C18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9394A76"/>
    <w:multiLevelType w:val="hybridMultilevel"/>
    <w:tmpl w:val="C41AC0D2"/>
    <w:lvl w:ilvl="0">
      <w:start w:val="3"/>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6673F"/>
    <w:multiLevelType w:val="hybridMultilevel"/>
    <w:tmpl w:val="68A29BCC"/>
    <w:lvl w:ilvl="0">
      <w:start w:val="3"/>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C2C5F"/>
    <w:multiLevelType w:val="hybridMultilevel"/>
    <w:tmpl w:val="D4A8CE4A"/>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52D65"/>
    <w:multiLevelType w:val="hybridMultilevel"/>
    <w:tmpl w:val="7652B832"/>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3"/>
  </w:num>
  <w:num w:numId="4">
    <w:abstractNumId w:val="4"/>
  </w:num>
  <w:num w:numId="5">
    <w:abstractNumId w:val="3"/>
  </w:num>
  <w:num w:numId="6">
    <w:abstractNumId w:val="3"/>
    <w:lvlOverride w:ilvl="1">
      <w:lvl w:ilvl="1">
        <w:start w:val="0"/>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1"/>
  </w:num>
  <w:num w:numId="9">
    <w:abstractNumId w:val="12"/>
  </w:num>
  <w:num w:numId="10">
    <w:abstractNumId w:val="15"/>
  </w:num>
  <w:num w:numId="11">
    <w:abstractNumId w:val="2"/>
  </w:num>
  <w:num w:numId="12">
    <w:abstractNumId w:val="0"/>
  </w:num>
  <w:num w:numId="13">
    <w:abstractNumId w:val="9"/>
  </w:num>
  <w:num w:numId="14">
    <w:abstractNumId w:val="6"/>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BD"/>
    <w:rsid w:val="00010C14"/>
    <w:rsid w:val="00027552"/>
    <w:rsid w:val="000831E3"/>
    <w:rsid w:val="00172C1C"/>
    <w:rsid w:val="00194A18"/>
    <w:rsid w:val="001A46F6"/>
    <w:rsid w:val="001D1F69"/>
    <w:rsid w:val="001D7B84"/>
    <w:rsid w:val="00272C8A"/>
    <w:rsid w:val="002B6950"/>
    <w:rsid w:val="002F0BCB"/>
    <w:rsid w:val="003A4697"/>
    <w:rsid w:val="003C7FA6"/>
    <w:rsid w:val="00416342"/>
    <w:rsid w:val="00420B9A"/>
    <w:rsid w:val="004F4F24"/>
    <w:rsid w:val="005268AF"/>
    <w:rsid w:val="005910A6"/>
    <w:rsid w:val="00597C02"/>
    <w:rsid w:val="005F78E9"/>
    <w:rsid w:val="007540DB"/>
    <w:rsid w:val="00773C91"/>
    <w:rsid w:val="007D3033"/>
    <w:rsid w:val="0081710B"/>
    <w:rsid w:val="00896879"/>
    <w:rsid w:val="00910DF2"/>
    <w:rsid w:val="009214BD"/>
    <w:rsid w:val="00930E7B"/>
    <w:rsid w:val="00931CBC"/>
    <w:rsid w:val="00AC00C8"/>
    <w:rsid w:val="00B50DE8"/>
    <w:rsid w:val="00BC0103"/>
    <w:rsid w:val="00D214B6"/>
    <w:rsid w:val="00DF52B3"/>
    <w:rsid w:val="00DF6A80"/>
    <w:rsid w:val="00ED7367"/>
    <w:rsid w:val="00F132B9"/>
    <w:rsid w:val="00F4428D"/>
    <w:rsid w:val="00FE4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A10D56-AF1C-4F10-B662-E606146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tulo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CabealhoChar"/>
    <w:uiPriority w:val="99"/>
    <w:unhideWhenUsed/>
    <w:rsid w:val="001D1F69"/>
    <w:pPr>
      <w:tabs>
        <w:tab w:val="center" w:pos="4680"/>
        <w:tab w:val="right" w:pos="9360"/>
      </w:tabs>
      <w:spacing w:after="0" w:line="240" w:lineRule="auto"/>
    </w:pPr>
  </w:style>
  <w:style w:type="character" w:customStyle="1" w:styleId="CabealhoChar">
    <w:name w:val="Cabeçalho Char"/>
    <w:basedOn w:val="DefaultParagraphFont"/>
    <w:link w:val="Header"/>
    <w:uiPriority w:val="99"/>
    <w:rsid w:val="001D1F69"/>
  </w:style>
  <w:style w:type="paragraph" w:styleId="Footer">
    <w:name w:val="footer"/>
    <w:basedOn w:val="Normal"/>
    <w:link w:val="RodapChar"/>
    <w:uiPriority w:val="99"/>
    <w:unhideWhenUsed/>
    <w:rsid w:val="001D1F69"/>
    <w:pPr>
      <w:tabs>
        <w:tab w:val="center" w:pos="4680"/>
        <w:tab w:val="right" w:pos="9360"/>
      </w:tabs>
      <w:spacing w:after="0" w:line="240" w:lineRule="auto"/>
    </w:pPr>
  </w:style>
  <w:style w:type="character" w:customStyle="1" w:styleId="RodapChar">
    <w:name w:val="Rodapé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5</Pages>
  <Words>1279</Words>
  <Characters>6909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Milene Monteiro</cp:lastModifiedBy>
  <cp:revision>8</cp:revision>
  <dcterms:created xsi:type="dcterms:W3CDTF">2018-12-06T11:24:00Z</dcterms:created>
  <dcterms:modified xsi:type="dcterms:W3CDTF">2018-12-16T17:55:00Z</dcterms:modified>
</cp:coreProperties>
</file>